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90484" w14:textId="67D361DB" w:rsidR="00EE6C5E" w:rsidRDefault="00EE6C5E" w:rsidP="00EE6C5E">
      <w:pPr>
        <w:spacing w:line="276" w:lineRule="auto"/>
        <w:jc w:val="both"/>
        <w:rPr>
          <w:rFonts w:eastAsia="Calibri"/>
          <w:b/>
          <w:sz w:val="18"/>
          <w:szCs w:val="18"/>
        </w:rPr>
      </w:pPr>
      <w:bookmarkStart w:id="0" w:name="_Hlk70001961"/>
      <w:r w:rsidRPr="00C01AAD">
        <w:rPr>
          <w:rFonts w:eastAsia="Calibri"/>
          <w:b/>
          <w:color w:val="1074CB"/>
          <w:sz w:val="40"/>
          <w:szCs w:val="40"/>
          <w:lang w:eastAsia="en-GB"/>
        </w:rPr>
        <w:t xml:space="preserve">UK </w:t>
      </w:r>
      <w:r w:rsidR="00541FBB">
        <w:rPr>
          <w:rFonts w:eastAsia="Calibri"/>
          <w:b/>
          <w:color w:val="1074CB"/>
          <w:sz w:val="40"/>
          <w:szCs w:val="40"/>
          <w:lang w:eastAsia="en-GB"/>
        </w:rPr>
        <w:t xml:space="preserve">NEW </w:t>
      </w:r>
      <w:r w:rsidR="00762D3A">
        <w:rPr>
          <w:rFonts w:eastAsia="Calibri"/>
          <w:b/>
          <w:color w:val="1074CB"/>
          <w:sz w:val="40"/>
          <w:szCs w:val="40"/>
          <w:lang w:eastAsia="en-GB"/>
        </w:rPr>
        <w:t>BUS &amp; COACH</w:t>
      </w:r>
      <w:r w:rsidRPr="00C01AAD">
        <w:rPr>
          <w:rFonts w:eastAsia="Calibri"/>
          <w:b/>
          <w:color w:val="1074CB"/>
          <w:sz w:val="40"/>
          <w:szCs w:val="40"/>
          <w:lang w:eastAsia="en-GB"/>
        </w:rPr>
        <w:t xml:space="preserve"> REGISTRATIONS</w:t>
      </w:r>
      <w:bookmarkEnd w:id="0"/>
      <w:r w:rsidRPr="00C01AAD">
        <w:rPr>
          <w:rFonts w:eastAsia="Calibri"/>
          <w:bCs w:val="0"/>
          <w:color w:val="1074CB"/>
          <w:sz w:val="28"/>
          <w:szCs w:val="28"/>
          <w:lang w:eastAsia="en-GB"/>
        </w:rPr>
        <w:t xml:space="preserve"> </w:t>
      </w:r>
      <w:r>
        <w:rPr>
          <w:rFonts w:eastAsia="Calibri"/>
          <w:bCs w:val="0"/>
          <w:color w:val="1074CB"/>
          <w:sz w:val="28"/>
          <w:szCs w:val="28"/>
          <w:lang w:eastAsia="en-GB"/>
        </w:rPr>
        <w:tab/>
      </w:r>
      <w:r w:rsidRPr="00C01AAD">
        <w:rPr>
          <w:rFonts w:eastAsia="Calibri"/>
          <w:bCs w:val="0"/>
          <w:color w:val="1074CB"/>
          <w:sz w:val="28"/>
          <w:szCs w:val="28"/>
          <w:lang w:eastAsia="en-GB"/>
        </w:rPr>
        <w:br/>
      </w:r>
      <w:r w:rsidRPr="00C01AAD">
        <w:rPr>
          <w:rFonts w:eastAsia="Calibri"/>
          <w:bCs w:val="0"/>
          <w:color w:val="1074CB"/>
          <w:sz w:val="40"/>
          <w:szCs w:val="40"/>
        </w:rPr>
        <w:t>17 May 2023</w:t>
      </w:r>
      <w:r w:rsidRPr="00C01AAD">
        <w:rPr>
          <w:rFonts w:eastAsia="Calibri"/>
          <w:b/>
          <w:color w:val="1074CB"/>
        </w:rPr>
        <w:t xml:space="preserve"> </w:t>
      </w:r>
      <w:r w:rsidRPr="00C01AAD">
        <w:rPr>
          <w:rFonts w:eastAsia="Calibri"/>
          <w:bCs w:val="0"/>
          <w:color w:val="1074CB"/>
          <w:sz w:val="32"/>
          <w:szCs w:val="32"/>
        </w:rPr>
        <w:t xml:space="preserve">(data for Q1 2023) </w:t>
      </w:r>
      <w:r>
        <w:rPr>
          <w:rFonts w:eastAsia="Calibri"/>
          <w:bCs w:val="0"/>
          <w:color w:val="1074CB"/>
          <w:sz w:val="32"/>
          <w:szCs w:val="32"/>
        </w:rPr>
        <w:tab/>
      </w:r>
      <w:r w:rsidRPr="00C01AAD">
        <w:rPr>
          <w:rFonts w:eastAsia="Calibri"/>
          <w:bCs w:val="0"/>
          <w:color w:val="1074CB"/>
          <w:sz w:val="32"/>
          <w:szCs w:val="32"/>
        </w:rPr>
        <w:br/>
      </w:r>
      <w:r w:rsidRPr="00C01AAD">
        <w:rPr>
          <w:rFonts w:eastAsia="Calibri"/>
          <w:b/>
        </w:rPr>
        <w:t>Hi-res charts available via Dropbox:</w:t>
      </w:r>
    </w:p>
    <w:p w14:paraId="649C3C11" w14:textId="0AE03FF5" w:rsidR="0064674A" w:rsidRPr="0064674A" w:rsidRDefault="0064674A" w:rsidP="00EE6C5E">
      <w:pPr>
        <w:spacing w:line="276" w:lineRule="auto"/>
        <w:jc w:val="both"/>
        <w:rPr>
          <w:rFonts w:ascii="Calibri" w:eastAsia="Calibri" w:hAnsi="Calibri" w:cs="Calibri"/>
          <w:bCs w:val="0"/>
          <w:sz w:val="22"/>
          <w:szCs w:val="22"/>
        </w:rPr>
      </w:pPr>
      <w:r w:rsidRPr="0064674A">
        <w:rPr>
          <w:rFonts w:eastAsia="Calibri"/>
          <w:b/>
          <w:color w:val="4472C4" w:themeColor="accent1"/>
          <w:sz w:val="32"/>
          <w:szCs w:val="32"/>
          <w:lang w:eastAsia="en-GB"/>
        </w:rPr>
        <w:t>Mixed performance for bus and coach market in first quarter</w:t>
      </w:r>
    </w:p>
    <w:p w14:paraId="58B939CE" w14:textId="2A9E692B" w:rsidR="0064674A" w:rsidRPr="0064674A" w:rsidRDefault="0064674A" w:rsidP="0064674A">
      <w:pPr>
        <w:numPr>
          <w:ilvl w:val="0"/>
          <w:numId w:val="1"/>
        </w:numPr>
        <w:autoSpaceDE w:val="0"/>
        <w:autoSpaceDN w:val="0"/>
        <w:spacing w:after="0" w:line="276" w:lineRule="auto"/>
        <w:contextualSpacing/>
        <w:jc w:val="both"/>
        <w:rPr>
          <w:rFonts w:ascii="Calibri" w:eastAsia="Times New Roman" w:hAnsi="Calibri" w:cs="Calibri"/>
          <w:bCs w:val="0"/>
          <w:sz w:val="22"/>
          <w:szCs w:val="22"/>
        </w:rPr>
      </w:pPr>
      <w:r w:rsidRPr="0064674A">
        <w:rPr>
          <w:rFonts w:eastAsia="Times New Roman"/>
          <w:bCs w:val="0"/>
          <w:color w:val="000000"/>
          <w:lang w:eastAsia="en-GB"/>
        </w:rPr>
        <w:t xml:space="preserve">UK demand for new buses and coaches declines slightly -0.6% in Q1 2023, some </w:t>
      </w:r>
      <w:r w:rsidR="004205EC">
        <w:rPr>
          <w:rFonts w:eastAsia="Times New Roman"/>
          <w:bCs w:val="0"/>
          <w:color w:val="000000"/>
          <w:lang w:eastAsia="en-GB"/>
        </w:rPr>
        <w:t>-</w:t>
      </w:r>
      <w:r w:rsidR="00F0462B">
        <w:rPr>
          <w:rFonts w:eastAsia="Times New Roman"/>
          <w:bCs w:val="0"/>
          <w:color w:val="000000"/>
          <w:lang w:eastAsia="en-GB"/>
        </w:rPr>
        <w:t>39</w:t>
      </w:r>
      <w:r w:rsidR="00626448">
        <w:rPr>
          <w:rFonts w:eastAsia="Times New Roman"/>
          <w:bCs w:val="0"/>
          <w:color w:val="000000"/>
          <w:lang w:eastAsia="en-GB"/>
        </w:rPr>
        <w:t>.7</w:t>
      </w:r>
      <w:r w:rsidRPr="0064674A">
        <w:rPr>
          <w:rFonts w:eastAsia="Times New Roman"/>
          <w:bCs w:val="0"/>
          <w:color w:val="000000"/>
          <w:lang w:eastAsia="en-GB"/>
        </w:rPr>
        <w:t>% below the pre-pandemic five-year average.</w:t>
      </w:r>
    </w:p>
    <w:p w14:paraId="54EB87AD" w14:textId="63C1B53F" w:rsidR="0064674A" w:rsidRPr="0064674A" w:rsidRDefault="0064674A" w:rsidP="0064674A">
      <w:pPr>
        <w:numPr>
          <w:ilvl w:val="0"/>
          <w:numId w:val="1"/>
        </w:numPr>
        <w:autoSpaceDE w:val="0"/>
        <w:autoSpaceDN w:val="0"/>
        <w:spacing w:after="0" w:line="276" w:lineRule="auto"/>
        <w:contextualSpacing/>
        <w:jc w:val="both"/>
        <w:rPr>
          <w:rFonts w:ascii="Calibri" w:eastAsia="Times New Roman" w:hAnsi="Calibri" w:cs="Calibri"/>
          <w:bCs w:val="0"/>
          <w:sz w:val="22"/>
          <w:szCs w:val="22"/>
        </w:rPr>
      </w:pPr>
      <w:r w:rsidRPr="0064674A">
        <w:rPr>
          <w:rFonts w:eastAsia="Times New Roman"/>
          <w:bCs w:val="0"/>
          <w:color w:val="000000"/>
          <w:lang w:eastAsia="en-GB"/>
        </w:rPr>
        <w:t>Single and double deck bus and coach sectors rally, up 89.</w:t>
      </w:r>
      <w:r w:rsidR="00613295">
        <w:rPr>
          <w:rFonts w:eastAsia="Times New Roman"/>
          <w:bCs w:val="0"/>
          <w:color w:val="000000"/>
          <w:lang w:eastAsia="en-GB"/>
        </w:rPr>
        <w:t>1</w:t>
      </w:r>
      <w:r w:rsidRPr="0064674A">
        <w:rPr>
          <w:rFonts w:eastAsia="Times New Roman"/>
          <w:bCs w:val="0"/>
          <w:color w:val="000000"/>
          <w:lang w:eastAsia="en-GB"/>
        </w:rPr>
        <w:t xml:space="preserve">% and 55.2% respectively, but falling minibus registrations </w:t>
      </w:r>
      <w:r w:rsidR="004205EC">
        <w:rPr>
          <w:rFonts w:eastAsia="Times New Roman"/>
          <w:bCs w:val="0"/>
          <w:color w:val="000000"/>
          <w:lang w:eastAsia="en-GB"/>
        </w:rPr>
        <w:t>and</w:t>
      </w:r>
      <w:r w:rsidR="004205EC" w:rsidRPr="0064674A">
        <w:rPr>
          <w:rFonts w:eastAsia="Times New Roman"/>
          <w:bCs w:val="0"/>
          <w:color w:val="000000"/>
          <w:lang w:eastAsia="en-GB"/>
        </w:rPr>
        <w:t xml:space="preserve"> </w:t>
      </w:r>
      <w:r w:rsidRPr="0064674A">
        <w:rPr>
          <w:rFonts w:eastAsia="Times New Roman"/>
          <w:bCs w:val="0"/>
          <w:color w:val="000000"/>
          <w:lang w:eastAsia="en-GB"/>
        </w:rPr>
        <w:t>ongoing supply chain shortages</w:t>
      </w:r>
      <w:r w:rsidR="004205EC">
        <w:rPr>
          <w:rFonts w:eastAsia="Times New Roman"/>
          <w:bCs w:val="0"/>
          <w:color w:val="000000"/>
          <w:lang w:eastAsia="en-GB"/>
        </w:rPr>
        <w:t xml:space="preserve"> stymie growth</w:t>
      </w:r>
      <w:r w:rsidRPr="0064674A">
        <w:rPr>
          <w:rFonts w:eastAsia="Times New Roman"/>
          <w:bCs w:val="0"/>
          <w:color w:val="000000"/>
          <w:lang w:eastAsia="en-GB"/>
        </w:rPr>
        <w:t>.</w:t>
      </w:r>
    </w:p>
    <w:p w14:paraId="6AC0CAA4" w14:textId="2465742E" w:rsidR="0064674A" w:rsidRPr="0064674A" w:rsidRDefault="0064674A" w:rsidP="0064674A">
      <w:pPr>
        <w:numPr>
          <w:ilvl w:val="0"/>
          <w:numId w:val="1"/>
        </w:numPr>
        <w:autoSpaceDE w:val="0"/>
        <w:autoSpaceDN w:val="0"/>
        <w:spacing w:after="0" w:line="276" w:lineRule="auto"/>
        <w:contextualSpacing/>
        <w:jc w:val="both"/>
        <w:rPr>
          <w:rFonts w:ascii="Calibri" w:eastAsia="Times New Roman" w:hAnsi="Calibri" w:cs="Calibri"/>
          <w:bCs w:val="0"/>
          <w:sz w:val="22"/>
          <w:szCs w:val="22"/>
        </w:rPr>
      </w:pPr>
      <w:r w:rsidRPr="0064674A">
        <w:rPr>
          <w:rFonts w:eastAsia="Times New Roman"/>
          <w:bCs w:val="0"/>
          <w:color w:val="000000"/>
          <w:lang w:eastAsia="en-GB"/>
        </w:rPr>
        <w:t>Industry awaits government response to consultation on Category B licence derogations as sector continues to decarbonise amid historically low ridership levels.</w:t>
      </w:r>
    </w:p>
    <w:p w14:paraId="012AEAC5" w14:textId="77777777" w:rsidR="0064674A" w:rsidRPr="0064674A" w:rsidRDefault="0064674A" w:rsidP="0064674A">
      <w:pPr>
        <w:autoSpaceDE w:val="0"/>
        <w:autoSpaceDN w:val="0"/>
        <w:spacing w:after="0" w:line="276" w:lineRule="auto"/>
        <w:rPr>
          <w:rFonts w:ascii="Calibri" w:eastAsia="Calibri" w:hAnsi="Calibri" w:cs="Calibri"/>
          <w:bCs w:val="0"/>
          <w:sz w:val="22"/>
          <w:szCs w:val="22"/>
        </w:rPr>
      </w:pPr>
      <w:r w:rsidRPr="0064674A">
        <w:rPr>
          <w:rFonts w:ascii="Times" w:eastAsia="Calibri" w:hAnsi="Times" w:cs="Times"/>
          <w:bCs w:val="0"/>
          <w:lang w:eastAsia="en-GB"/>
        </w:rPr>
        <w:t> </w:t>
      </w:r>
    </w:p>
    <w:p w14:paraId="667D3E56" w14:textId="3D767BB5" w:rsidR="0064674A" w:rsidRPr="0064674A" w:rsidRDefault="0064674A" w:rsidP="0064674A">
      <w:pPr>
        <w:autoSpaceDE w:val="0"/>
        <w:autoSpaceDN w:val="0"/>
        <w:spacing w:after="0" w:line="276" w:lineRule="auto"/>
        <w:jc w:val="both"/>
        <w:rPr>
          <w:rFonts w:ascii="Calibri" w:eastAsia="Calibri" w:hAnsi="Calibri" w:cs="Calibri"/>
          <w:bCs w:val="0"/>
          <w:sz w:val="22"/>
          <w:szCs w:val="22"/>
        </w:rPr>
      </w:pPr>
      <w:r w:rsidRPr="0064674A">
        <w:rPr>
          <w:rFonts w:eastAsia="Calibri"/>
          <w:b/>
          <w:lang w:eastAsia="en-GB"/>
        </w:rPr>
        <w:t>Wednesday 17 May, 202</w:t>
      </w:r>
      <w:r w:rsidR="00E00C31">
        <w:rPr>
          <w:rFonts w:eastAsia="Calibri"/>
          <w:b/>
          <w:lang w:eastAsia="en-GB"/>
        </w:rPr>
        <w:t>3</w:t>
      </w:r>
      <w:r w:rsidRPr="0064674A">
        <w:rPr>
          <w:rFonts w:eastAsia="Calibri"/>
          <w:b/>
          <w:lang w:eastAsia="en-GB"/>
        </w:rPr>
        <w:t xml:space="preserve"> </w:t>
      </w:r>
      <w:r w:rsidRPr="0064674A">
        <w:rPr>
          <w:rFonts w:eastAsia="Calibri"/>
          <w:bCs w:val="0"/>
          <w:lang w:val="en-US" w:eastAsia="en-GB"/>
        </w:rPr>
        <w:t xml:space="preserve">The UK’s </w:t>
      </w:r>
      <w:r w:rsidRPr="0064674A">
        <w:rPr>
          <w:rFonts w:eastAsia="Calibri"/>
          <w:bCs w:val="0"/>
          <w:lang w:eastAsia="en-GB"/>
        </w:rPr>
        <w:t xml:space="preserve">new bus and coach market fell by -0.6% in the first quarter of 2023, with 968 vehicles joining Britain’s transport network, according to the latest figures published today by the Society of Motor Manufacturers and Traders (SMMT). With passenger numbers </w:t>
      </w:r>
      <w:r w:rsidR="00A570B0">
        <w:rPr>
          <w:rFonts w:eastAsia="Calibri"/>
          <w:bCs w:val="0"/>
          <w:lang w:eastAsia="en-GB"/>
        </w:rPr>
        <w:t>still</w:t>
      </w:r>
      <w:r w:rsidRPr="0064674A">
        <w:rPr>
          <w:rFonts w:eastAsia="Calibri"/>
          <w:bCs w:val="0"/>
          <w:lang w:eastAsia="en-GB"/>
        </w:rPr>
        <w:t xml:space="preserve"> low since the sharp decline in ridership caused by the pandemic, the overall market remains tough, albeit stable since the first quarter of last year. Registrations remain -</w:t>
      </w:r>
      <w:r w:rsidR="00934730">
        <w:rPr>
          <w:rFonts w:eastAsia="Calibri"/>
          <w:bCs w:val="0"/>
          <w:lang w:eastAsia="en-GB"/>
        </w:rPr>
        <w:t>39.7</w:t>
      </w:r>
      <w:r w:rsidRPr="0064674A">
        <w:rPr>
          <w:rFonts w:eastAsia="Calibri"/>
          <w:bCs w:val="0"/>
          <w:lang w:eastAsia="en-GB"/>
        </w:rPr>
        <w:t>% below the pre-pandemic five-year average,</w:t>
      </w:r>
      <w:r w:rsidR="006C3195">
        <w:rPr>
          <w:rFonts w:eastAsia="Calibri"/>
          <w:bCs w:val="0"/>
          <w:vertAlign w:val="superscript"/>
          <w:lang w:eastAsia="en-GB"/>
        </w:rPr>
        <w:t>1</w:t>
      </w:r>
      <w:r w:rsidRPr="0064674A">
        <w:rPr>
          <w:rFonts w:eastAsia="Calibri"/>
          <w:bCs w:val="0"/>
          <w:lang w:eastAsia="en-GB"/>
        </w:rPr>
        <w:t xml:space="preserve"> highlighting the scale of the challenge to get the sector on the road to recovery.</w:t>
      </w:r>
    </w:p>
    <w:p w14:paraId="6DCD60FA" w14:textId="77777777" w:rsidR="0064674A" w:rsidRPr="0064674A" w:rsidRDefault="0064674A" w:rsidP="0064674A">
      <w:pPr>
        <w:autoSpaceDE w:val="0"/>
        <w:autoSpaceDN w:val="0"/>
        <w:spacing w:after="0" w:line="276" w:lineRule="auto"/>
        <w:jc w:val="both"/>
        <w:rPr>
          <w:rFonts w:ascii="Calibri" w:eastAsia="Calibri" w:hAnsi="Calibri" w:cs="Calibri"/>
          <w:bCs w:val="0"/>
          <w:sz w:val="22"/>
          <w:szCs w:val="22"/>
        </w:rPr>
      </w:pPr>
      <w:r w:rsidRPr="0064674A">
        <w:rPr>
          <w:rFonts w:eastAsia="Calibri"/>
          <w:bCs w:val="0"/>
          <w:lang w:eastAsia="en-GB"/>
        </w:rPr>
        <w:t> </w:t>
      </w:r>
    </w:p>
    <w:p w14:paraId="7B0E4629" w14:textId="11598082" w:rsidR="0064674A" w:rsidRPr="0064674A" w:rsidRDefault="0064674A" w:rsidP="0064674A">
      <w:pPr>
        <w:autoSpaceDE w:val="0"/>
        <w:autoSpaceDN w:val="0"/>
        <w:spacing w:after="0" w:line="276" w:lineRule="auto"/>
        <w:jc w:val="both"/>
        <w:rPr>
          <w:rFonts w:ascii="Calibri" w:eastAsia="Calibri" w:hAnsi="Calibri" w:cs="Calibri"/>
          <w:bCs w:val="0"/>
          <w:sz w:val="22"/>
          <w:szCs w:val="22"/>
        </w:rPr>
      </w:pPr>
      <w:r w:rsidRPr="0064674A">
        <w:rPr>
          <w:rFonts w:eastAsia="Calibri"/>
          <w:bCs w:val="0"/>
          <w:lang w:eastAsia="en-GB"/>
        </w:rPr>
        <w:t>The slight decline was driven by minibus registrations</w:t>
      </w:r>
      <w:r w:rsidR="00962118">
        <w:rPr>
          <w:rFonts w:eastAsia="Calibri"/>
          <w:bCs w:val="0"/>
          <w:lang w:eastAsia="en-GB"/>
        </w:rPr>
        <w:t>,</w:t>
      </w:r>
      <w:r w:rsidRPr="0064674A">
        <w:rPr>
          <w:rFonts w:eastAsia="Calibri"/>
          <w:bCs w:val="0"/>
          <w:lang w:eastAsia="en-GB"/>
        </w:rPr>
        <w:t xml:space="preserve"> which fell by -39.9% to just 389 units, representing 40.2% of the market compared with 66.4% during the same period in 2022 amid turbulent supply shortages and naturally volatile fleet renewal. In contrast, demand for single and double decker buses and coaches reached the highest Q1 total since pre-pandemic 2019,</w:t>
      </w:r>
      <w:r w:rsidRPr="0064674A">
        <w:rPr>
          <w:rFonts w:eastAsia="Calibri"/>
          <w:bCs w:val="0"/>
          <w:vertAlign w:val="superscript"/>
          <w:lang w:eastAsia="en-GB"/>
        </w:rPr>
        <w:t>2</w:t>
      </w:r>
      <w:r w:rsidRPr="0064674A">
        <w:rPr>
          <w:rFonts w:eastAsia="Calibri"/>
          <w:bCs w:val="0"/>
          <w:lang w:eastAsia="en-GB"/>
        </w:rPr>
        <w:t xml:space="preserve"> with single </w:t>
      </w:r>
      <w:proofErr w:type="spellStart"/>
      <w:r w:rsidRPr="0064674A">
        <w:rPr>
          <w:rFonts w:eastAsia="Calibri"/>
          <w:bCs w:val="0"/>
          <w:lang w:eastAsia="en-GB"/>
        </w:rPr>
        <w:t>deckers</w:t>
      </w:r>
      <w:proofErr w:type="spellEnd"/>
      <w:r w:rsidRPr="0064674A">
        <w:rPr>
          <w:rFonts w:eastAsia="Calibri"/>
          <w:bCs w:val="0"/>
          <w:lang w:eastAsia="en-GB"/>
        </w:rPr>
        <w:t xml:space="preserve"> rising by 89.1% </w:t>
      </w:r>
      <w:r w:rsidR="0041585C">
        <w:rPr>
          <w:rFonts w:eastAsia="Calibri"/>
          <w:bCs w:val="0"/>
          <w:lang w:eastAsia="en-GB"/>
        </w:rPr>
        <w:t xml:space="preserve">on last year </w:t>
      </w:r>
      <w:r w:rsidRPr="0064674A">
        <w:rPr>
          <w:rFonts w:eastAsia="Calibri"/>
          <w:bCs w:val="0"/>
          <w:lang w:eastAsia="en-GB"/>
        </w:rPr>
        <w:t xml:space="preserve">to 399 units and double </w:t>
      </w:r>
      <w:proofErr w:type="spellStart"/>
      <w:r w:rsidRPr="0064674A">
        <w:rPr>
          <w:rFonts w:eastAsia="Calibri"/>
          <w:bCs w:val="0"/>
          <w:lang w:eastAsia="en-GB"/>
        </w:rPr>
        <w:t>deckers</w:t>
      </w:r>
      <w:proofErr w:type="spellEnd"/>
      <w:r w:rsidRPr="0064674A">
        <w:rPr>
          <w:rFonts w:eastAsia="Calibri"/>
          <w:bCs w:val="0"/>
          <w:lang w:eastAsia="en-GB"/>
        </w:rPr>
        <w:t xml:space="preserve"> by 55.2% to 180 units.</w:t>
      </w:r>
    </w:p>
    <w:p w14:paraId="6DA69019" w14:textId="77777777" w:rsidR="0064674A" w:rsidRPr="0064674A" w:rsidRDefault="0064674A" w:rsidP="0064674A">
      <w:pPr>
        <w:autoSpaceDE w:val="0"/>
        <w:autoSpaceDN w:val="0"/>
        <w:spacing w:after="0" w:line="276" w:lineRule="auto"/>
        <w:jc w:val="both"/>
        <w:rPr>
          <w:rFonts w:ascii="Calibri" w:eastAsia="Calibri" w:hAnsi="Calibri" w:cs="Calibri"/>
          <w:bCs w:val="0"/>
          <w:sz w:val="22"/>
          <w:szCs w:val="22"/>
        </w:rPr>
      </w:pPr>
      <w:r w:rsidRPr="0064674A">
        <w:rPr>
          <w:rFonts w:eastAsia="Calibri"/>
          <w:bCs w:val="0"/>
          <w:lang w:eastAsia="en-GB"/>
        </w:rPr>
        <w:t> </w:t>
      </w:r>
    </w:p>
    <w:p w14:paraId="632AFE48" w14:textId="6326D62F" w:rsidR="00A55E1F" w:rsidRDefault="0064674A" w:rsidP="0064674A">
      <w:pPr>
        <w:autoSpaceDE w:val="0"/>
        <w:autoSpaceDN w:val="0"/>
        <w:spacing w:after="0" w:line="276" w:lineRule="auto"/>
        <w:jc w:val="both"/>
        <w:rPr>
          <w:rFonts w:eastAsia="Calibri"/>
          <w:bCs w:val="0"/>
          <w:lang w:eastAsia="en-GB"/>
        </w:rPr>
      </w:pPr>
      <w:r w:rsidRPr="0064674A">
        <w:rPr>
          <w:rFonts w:eastAsia="Calibri"/>
          <w:bCs w:val="0"/>
          <w:lang w:eastAsia="en-GB"/>
        </w:rPr>
        <w:t>While Britain’s latest bus ridership statistics show that the number of local passenger journeys in England grew by 79.6% to 2.8 billion during the 12 months ending in March 2022,</w:t>
      </w:r>
      <w:r w:rsidR="006C3195">
        <w:rPr>
          <w:rFonts w:eastAsia="Calibri"/>
          <w:bCs w:val="0"/>
          <w:vertAlign w:val="superscript"/>
          <w:lang w:eastAsia="en-GB"/>
        </w:rPr>
        <w:t>3</w:t>
      </w:r>
      <w:r w:rsidRPr="0064674A">
        <w:rPr>
          <w:rFonts w:eastAsia="Calibri"/>
          <w:bCs w:val="0"/>
          <w:lang w:eastAsia="en-GB"/>
        </w:rPr>
        <w:t xml:space="preserve"> the total is significantly below the same period up to 2020, at 4.1 billion journeys. Measures such as the Bus Fare Cap Grant to boost passenger numbers are welcome in the short term, but a plan to deliver long-term growth is required.</w:t>
      </w:r>
      <w:r w:rsidRPr="0064674A">
        <w:rPr>
          <w:rFonts w:eastAsia="Calibri"/>
          <w:bCs w:val="0"/>
          <w:lang w:eastAsia="en-GB"/>
        </w:rPr>
        <w:tab/>
      </w:r>
      <w:r w:rsidRPr="0064674A">
        <w:rPr>
          <w:rFonts w:eastAsia="Calibri"/>
          <w:bCs w:val="0"/>
          <w:lang w:eastAsia="en-GB"/>
        </w:rPr>
        <w:br/>
      </w:r>
      <w:r w:rsidRPr="0064674A">
        <w:rPr>
          <w:rFonts w:eastAsia="Calibri"/>
          <w:bCs w:val="0"/>
          <w:lang w:eastAsia="en-GB"/>
        </w:rPr>
        <w:br/>
        <w:t xml:space="preserve">The industry has a key role to play in the decarbonisation of road transport so providing affordable, accessible zero emission transport requires higher levels of fleet renewal over the coming years. Operators need greater confidence to make the switch amid a challenging business environment, with the smoother, faster roll out of Zero Emission Bus Regional Area (ZEBRA) funding across all UK regions needed to help stimulate further investment.    </w:t>
      </w:r>
      <w:r>
        <w:rPr>
          <w:rFonts w:eastAsia="Calibri"/>
          <w:bCs w:val="0"/>
          <w:lang w:eastAsia="en-GB"/>
        </w:rPr>
        <w:tab/>
      </w:r>
      <w:r w:rsidRPr="0064674A">
        <w:rPr>
          <w:rFonts w:eastAsia="Calibri"/>
          <w:bCs w:val="0"/>
          <w:lang w:eastAsia="en-GB"/>
        </w:rPr>
        <w:br/>
      </w:r>
      <w:r w:rsidRPr="0064674A">
        <w:rPr>
          <w:rFonts w:eastAsia="Calibri"/>
          <w:bCs w:val="0"/>
          <w:lang w:eastAsia="en-GB"/>
        </w:rPr>
        <w:br/>
        <w:t>At the same time, minibus operators await the outcome of a consultation on Category B licence derogations which would allow existing minibus drivers to operate alternatively fuelled vehicles weighing up to 4.25 tonnes on their current licence. Given the limitations on the current number of qualified minibus drivers, the measure would enable more operators to invest in the latest electrified models – improving access to zero emission mobility for everyone in society while ensuring long-term decarbonisation.</w:t>
      </w:r>
      <w:r>
        <w:rPr>
          <w:rFonts w:ascii="Calibri" w:eastAsia="Calibri" w:hAnsi="Calibri" w:cs="Calibri"/>
          <w:bCs w:val="0"/>
          <w:sz w:val="22"/>
          <w:szCs w:val="22"/>
        </w:rPr>
        <w:br/>
      </w:r>
      <w:r>
        <w:rPr>
          <w:rFonts w:ascii="Calibri" w:eastAsia="Calibri" w:hAnsi="Calibri" w:cs="Calibri"/>
          <w:bCs w:val="0"/>
          <w:sz w:val="22"/>
          <w:szCs w:val="22"/>
        </w:rPr>
        <w:br/>
      </w:r>
      <w:r w:rsidRPr="0064674A">
        <w:rPr>
          <w:rFonts w:eastAsia="Calibri"/>
          <w:b/>
          <w:color w:val="000000"/>
          <w:lang w:eastAsia="en-GB"/>
        </w:rPr>
        <w:t>Mike Hawes, SMMT Chief Executive, </w:t>
      </w:r>
      <w:r w:rsidRPr="0064674A">
        <w:rPr>
          <w:rFonts w:eastAsia="Calibri"/>
          <w:bCs w:val="0"/>
          <w:color w:val="000000"/>
          <w:lang w:eastAsia="en-GB"/>
        </w:rPr>
        <w:t xml:space="preserve">said, </w:t>
      </w:r>
      <w:r w:rsidRPr="0064674A">
        <w:rPr>
          <w:rFonts w:eastAsia="Calibri"/>
          <w:bCs w:val="0"/>
          <w:lang w:eastAsia="en-GB"/>
        </w:rPr>
        <w:t xml:space="preserve">“While building back Britain’s bus and coach sector remains a challenge, with supply disruptions still affecting minibus deliveries, the market is showing signs of recovery – particularly with the boost in single and double decker vehicle uptake. The sector </w:t>
      </w:r>
      <w:r w:rsidRPr="0064674A">
        <w:rPr>
          <w:rFonts w:eastAsia="Calibri"/>
          <w:bCs w:val="0"/>
          <w:lang w:eastAsia="en-GB"/>
        </w:rPr>
        <w:lastRenderedPageBreak/>
        <w:t>has a vital role in decarbonising road transport, and potential minibus licence allowances have the potential to enable more operators to renew their fleets with the latest zero emission vehicles – driving long-term market growth and improving access to green mobility for all.”</w:t>
      </w:r>
      <w:r>
        <w:rPr>
          <w:rFonts w:eastAsia="Calibri"/>
          <w:bCs w:val="0"/>
          <w:lang w:eastAsia="en-GB"/>
        </w:rPr>
        <w:tab/>
      </w:r>
    </w:p>
    <w:p w14:paraId="13819372" w14:textId="77777777" w:rsidR="00A55E1F" w:rsidRDefault="00A55E1F" w:rsidP="0064674A">
      <w:pPr>
        <w:autoSpaceDE w:val="0"/>
        <w:autoSpaceDN w:val="0"/>
        <w:spacing w:after="0" w:line="276" w:lineRule="auto"/>
        <w:jc w:val="both"/>
        <w:rPr>
          <w:rFonts w:eastAsia="Calibri"/>
          <w:bCs w:val="0"/>
          <w:lang w:eastAsia="en-GB"/>
        </w:rPr>
      </w:pPr>
    </w:p>
    <w:p w14:paraId="4161C9F7" w14:textId="2DECEE5F" w:rsidR="00A55E1F" w:rsidRDefault="00A55E1F" w:rsidP="0064674A">
      <w:pPr>
        <w:autoSpaceDE w:val="0"/>
        <w:autoSpaceDN w:val="0"/>
        <w:spacing w:after="0" w:line="276" w:lineRule="auto"/>
        <w:jc w:val="both"/>
        <w:rPr>
          <w:rFonts w:eastAsia="Calibri"/>
          <w:bCs w:val="0"/>
          <w:lang w:eastAsia="en-GB"/>
        </w:rPr>
      </w:pPr>
      <w:r>
        <w:rPr>
          <w:rFonts w:ascii="Calibri" w:eastAsia="Calibri" w:hAnsi="Calibri" w:cs="Calibri"/>
          <w:bCs w:val="0"/>
          <w:noProof/>
          <w:sz w:val="22"/>
          <w:szCs w:val="22"/>
        </w:rPr>
        <w:drawing>
          <wp:inline distT="0" distB="0" distL="0" distR="0" wp14:anchorId="0AD9AE23" wp14:editId="4B9528F2">
            <wp:extent cx="5731510" cy="2018030"/>
            <wp:effectExtent l="0" t="0" r="2540" b="1270"/>
            <wp:docPr id="6" name="Picture 6"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creenshot, font, numbe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10" cy="2018030"/>
                    </a:xfrm>
                    <a:prstGeom prst="rect">
                      <a:avLst/>
                    </a:prstGeom>
                  </pic:spPr>
                </pic:pic>
              </a:graphicData>
            </a:graphic>
          </wp:inline>
        </w:drawing>
      </w:r>
    </w:p>
    <w:p w14:paraId="75818C6C" w14:textId="77777777" w:rsidR="00CC41BA" w:rsidRDefault="00CC41BA" w:rsidP="0064674A">
      <w:pPr>
        <w:autoSpaceDE w:val="0"/>
        <w:autoSpaceDN w:val="0"/>
        <w:spacing w:after="0" w:line="276" w:lineRule="auto"/>
        <w:jc w:val="both"/>
        <w:rPr>
          <w:rFonts w:eastAsia="Calibri"/>
          <w:bCs w:val="0"/>
          <w:lang w:eastAsia="en-GB"/>
        </w:rPr>
      </w:pPr>
    </w:p>
    <w:p w14:paraId="38E5632B" w14:textId="45BDA05E" w:rsidR="00A55E1F" w:rsidRDefault="00A55E1F" w:rsidP="0064674A">
      <w:pPr>
        <w:autoSpaceDE w:val="0"/>
        <w:autoSpaceDN w:val="0"/>
        <w:spacing w:after="0" w:line="276" w:lineRule="auto"/>
        <w:jc w:val="both"/>
        <w:rPr>
          <w:rFonts w:eastAsia="Calibri"/>
          <w:bCs w:val="0"/>
          <w:lang w:eastAsia="en-GB"/>
        </w:rPr>
      </w:pPr>
    </w:p>
    <w:p w14:paraId="16BDFE15" w14:textId="36A30FC4" w:rsidR="00A55E1F" w:rsidRDefault="00A55E1F" w:rsidP="0064674A">
      <w:pPr>
        <w:autoSpaceDE w:val="0"/>
        <w:autoSpaceDN w:val="0"/>
        <w:spacing w:after="0" w:line="276" w:lineRule="auto"/>
        <w:jc w:val="both"/>
        <w:rPr>
          <w:rFonts w:eastAsia="Calibri"/>
          <w:bCs w:val="0"/>
          <w:lang w:eastAsia="en-GB"/>
        </w:rPr>
      </w:pPr>
      <w:r>
        <w:rPr>
          <w:rFonts w:ascii="Calibri" w:eastAsia="Calibri" w:hAnsi="Calibri" w:cs="Calibri"/>
          <w:bCs w:val="0"/>
          <w:noProof/>
          <w:sz w:val="22"/>
          <w:szCs w:val="22"/>
        </w:rPr>
        <w:drawing>
          <wp:inline distT="0" distB="0" distL="0" distR="0" wp14:anchorId="6DE307A6" wp14:editId="41B82CEE">
            <wp:extent cx="5731510" cy="2839720"/>
            <wp:effectExtent l="0" t="0" r="2540" b="0"/>
            <wp:docPr id="4" name="Picture 4"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screenshot, font, number&#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1510" cy="2839720"/>
                    </a:xfrm>
                    <a:prstGeom prst="rect">
                      <a:avLst/>
                    </a:prstGeom>
                  </pic:spPr>
                </pic:pic>
              </a:graphicData>
            </a:graphic>
          </wp:inline>
        </w:drawing>
      </w:r>
    </w:p>
    <w:p w14:paraId="28A09FD5" w14:textId="77777777" w:rsidR="00A55E1F" w:rsidRDefault="00A55E1F" w:rsidP="0064674A">
      <w:pPr>
        <w:autoSpaceDE w:val="0"/>
        <w:autoSpaceDN w:val="0"/>
        <w:spacing w:after="0" w:line="276" w:lineRule="auto"/>
        <w:jc w:val="both"/>
        <w:rPr>
          <w:rFonts w:eastAsia="Calibri"/>
          <w:bCs w:val="0"/>
          <w:lang w:eastAsia="en-GB"/>
        </w:rPr>
      </w:pPr>
    </w:p>
    <w:p w14:paraId="1261169A" w14:textId="77777777" w:rsidR="00A55E1F" w:rsidRDefault="00A55E1F" w:rsidP="0064674A">
      <w:pPr>
        <w:autoSpaceDE w:val="0"/>
        <w:autoSpaceDN w:val="0"/>
        <w:spacing w:after="0" w:line="276" w:lineRule="auto"/>
        <w:jc w:val="both"/>
        <w:rPr>
          <w:rFonts w:eastAsia="Calibri"/>
          <w:bCs w:val="0"/>
          <w:lang w:eastAsia="en-GB"/>
        </w:rPr>
      </w:pPr>
    </w:p>
    <w:p w14:paraId="33CDE042" w14:textId="7A58ADD9" w:rsidR="00A55E1F" w:rsidRDefault="00A55E1F" w:rsidP="0064674A">
      <w:pPr>
        <w:autoSpaceDE w:val="0"/>
        <w:autoSpaceDN w:val="0"/>
        <w:spacing w:after="0" w:line="276" w:lineRule="auto"/>
        <w:jc w:val="both"/>
        <w:rPr>
          <w:rFonts w:eastAsia="Calibri"/>
          <w:bCs w:val="0"/>
          <w:lang w:eastAsia="en-GB"/>
        </w:rPr>
      </w:pPr>
    </w:p>
    <w:p w14:paraId="37126873" w14:textId="583DDF1D" w:rsidR="00A55E1F" w:rsidRDefault="00A55E1F" w:rsidP="0064674A">
      <w:pPr>
        <w:autoSpaceDE w:val="0"/>
        <w:autoSpaceDN w:val="0"/>
        <w:spacing w:after="0" w:line="276" w:lineRule="auto"/>
        <w:jc w:val="both"/>
        <w:rPr>
          <w:rFonts w:eastAsia="Calibri"/>
          <w:bCs w:val="0"/>
          <w:lang w:eastAsia="en-GB"/>
        </w:rPr>
      </w:pPr>
      <w:r>
        <w:rPr>
          <w:rFonts w:ascii="Calibri" w:eastAsia="Calibri" w:hAnsi="Calibri" w:cs="Calibri"/>
          <w:bCs w:val="0"/>
          <w:noProof/>
          <w:sz w:val="22"/>
          <w:szCs w:val="22"/>
        </w:rPr>
        <w:drawing>
          <wp:inline distT="0" distB="0" distL="0" distR="0" wp14:anchorId="58A5457C" wp14:editId="64C36268">
            <wp:extent cx="5731510" cy="1873250"/>
            <wp:effectExtent l="0" t="0" r="2540" b="0"/>
            <wp:docPr id="3" name="Picture 3" descr="A picture containing text, screenshot, number,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creenshot, number, fon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731510" cy="1873250"/>
                    </a:xfrm>
                    <a:prstGeom prst="rect">
                      <a:avLst/>
                    </a:prstGeom>
                  </pic:spPr>
                </pic:pic>
              </a:graphicData>
            </a:graphic>
          </wp:inline>
        </w:drawing>
      </w:r>
    </w:p>
    <w:p w14:paraId="3B6174FF" w14:textId="6EE7F1BB" w:rsidR="0064674A" w:rsidRPr="00A55E1F" w:rsidRDefault="00E161AD" w:rsidP="0064674A">
      <w:pPr>
        <w:autoSpaceDE w:val="0"/>
        <w:autoSpaceDN w:val="0"/>
        <w:spacing w:after="0" w:line="276" w:lineRule="auto"/>
        <w:jc w:val="both"/>
        <w:rPr>
          <w:rFonts w:eastAsia="Calibri"/>
          <w:bCs w:val="0"/>
          <w:lang w:eastAsia="en-GB"/>
        </w:rPr>
      </w:pPr>
      <w:r>
        <w:rPr>
          <w:rFonts w:ascii="Calibri" w:eastAsia="Calibri" w:hAnsi="Calibri" w:cs="Calibri"/>
          <w:bCs w:val="0"/>
          <w:noProof/>
          <w:sz w:val="22"/>
          <w:szCs w:val="22"/>
        </w:rPr>
        <w:lastRenderedPageBreak/>
        <w:drawing>
          <wp:inline distT="0" distB="0" distL="0" distR="0" wp14:anchorId="533173F7" wp14:editId="0F8CFEB3">
            <wp:extent cx="2832745" cy="2286521"/>
            <wp:effectExtent l="0" t="0" r="5715" b="0"/>
            <wp:docPr id="5" name="Picture 5"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screenshot, font, numbe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2832745" cy="2286521"/>
                    </a:xfrm>
                    <a:prstGeom prst="rect">
                      <a:avLst/>
                    </a:prstGeom>
                  </pic:spPr>
                </pic:pic>
              </a:graphicData>
            </a:graphic>
          </wp:inline>
        </w:drawing>
      </w:r>
      <w:r w:rsidR="0064674A">
        <w:rPr>
          <w:rFonts w:ascii="Calibri" w:eastAsia="Calibri" w:hAnsi="Calibri" w:cs="Calibri"/>
          <w:bCs w:val="0"/>
          <w:sz w:val="22"/>
          <w:szCs w:val="22"/>
        </w:rPr>
        <w:br/>
      </w:r>
      <w:r w:rsidR="0064674A">
        <w:rPr>
          <w:rFonts w:ascii="Calibri" w:eastAsia="Calibri" w:hAnsi="Calibri" w:cs="Calibri"/>
          <w:bCs w:val="0"/>
          <w:sz w:val="22"/>
          <w:szCs w:val="22"/>
        </w:rPr>
        <w:br/>
      </w:r>
      <w:r w:rsidR="0064674A" w:rsidRPr="00D711AB">
        <w:rPr>
          <w:rFonts w:eastAsia="Calibri"/>
          <w:b/>
          <w:color w:val="1074CB"/>
          <w:sz w:val="16"/>
          <w:szCs w:val="16"/>
          <w:u w:val="single"/>
          <w:lang w:eastAsia="en-GB"/>
        </w:rPr>
        <w:t>Notes to Editors</w:t>
      </w:r>
      <w:r w:rsidR="0064674A" w:rsidRPr="00D711AB">
        <w:rPr>
          <w:rFonts w:eastAsia="Calibri"/>
          <w:b/>
          <w:color w:val="1074CB"/>
          <w:sz w:val="16"/>
          <w:szCs w:val="16"/>
          <w:lang w:eastAsia="en-GB"/>
        </w:rPr>
        <w:t xml:space="preserve"> </w:t>
      </w:r>
      <w:r w:rsidR="0064674A" w:rsidRPr="00D711AB">
        <w:rPr>
          <w:rFonts w:eastAsia="Calibri"/>
          <w:b/>
          <w:color w:val="1074CB"/>
          <w:sz w:val="16"/>
          <w:szCs w:val="16"/>
          <w:lang w:eastAsia="en-GB"/>
        </w:rPr>
        <w:softHyphen/>
      </w:r>
      <w:r w:rsidR="0064674A" w:rsidRPr="00D711AB">
        <w:rPr>
          <w:rFonts w:eastAsia="Calibri"/>
          <w:b/>
          <w:color w:val="1074CB"/>
          <w:sz w:val="16"/>
          <w:szCs w:val="16"/>
          <w:lang w:eastAsia="en-GB"/>
        </w:rPr>
        <w:tab/>
      </w:r>
      <w:r w:rsidR="0064674A" w:rsidRPr="00D711AB">
        <w:rPr>
          <w:rFonts w:eastAsia="Calibri"/>
          <w:bCs w:val="0"/>
          <w:color w:val="1074CB"/>
          <w:sz w:val="16"/>
          <w:szCs w:val="16"/>
          <w:lang w:eastAsia="en-GB"/>
        </w:rPr>
        <w:tab/>
      </w:r>
      <w:r w:rsidR="0064674A" w:rsidRPr="00D711AB">
        <w:rPr>
          <w:rFonts w:eastAsia="Calibri"/>
          <w:bCs w:val="0"/>
          <w:color w:val="1074CB"/>
          <w:sz w:val="16"/>
          <w:szCs w:val="16"/>
          <w:lang w:eastAsia="en-GB"/>
        </w:rPr>
        <w:br/>
      </w:r>
      <w:r w:rsidR="000A6D74" w:rsidRPr="00D711AB">
        <w:rPr>
          <w:rFonts w:eastAsia="Calibri"/>
          <w:bCs w:val="0"/>
          <w:color w:val="1074CB"/>
          <w:sz w:val="16"/>
          <w:szCs w:val="16"/>
          <w:vertAlign w:val="superscript"/>
          <w:lang w:eastAsia="en-GB"/>
        </w:rPr>
        <w:t>1</w:t>
      </w:r>
      <w:r w:rsidR="0064674A" w:rsidRPr="00D711AB">
        <w:rPr>
          <w:rFonts w:eastAsia="Calibri"/>
          <w:bCs w:val="0"/>
          <w:color w:val="1074CB"/>
          <w:sz w:val="16"/>
          <w:szCs w:val="16"/>
          <w:lang w:eastAsia="en-GB"/>
        </w:rPr>
        <w:t xml:space="preserve"> Q1 average, 2015-2019: </w:t>
      </w:r>
      <w:r w:rsidR="007D2271">
        <w:rPr>
          <w:rFonts w:eastAsia="Calibri"/>
          <w:bCs w:val="0"/>
          <w:color w:val="1074CB"/>
          <w:sz w:val="16"/>
          <w:szCs w:val="16"/>
          <w:lang w:eastAsia="en-GB"/>
        </w:rPr>
        <w:t>1,606</w:t>
      </w:r>
      <w:r w:rsidR="00D711AB">
        <w:rPr>
          <w:rFonts w:eastAsia="Calibri"/>
          <w:bCs w:val="0"/>
          <w:color w:val="1074CB"/>
          <w:sz w:val="16"/>
          <w:szCs w:val="16"/>
          <w:lang w:eastAsia="en-GB"/>
        </w:rPr>
        <w:t xml:space="preserve"> </w:t>
      </w:r>
      <w:r w:rsidR="0064674A" w:rsidRPr="00D711AB">
        <w:rPr>
          <w:rFonts w:eastAsia="Calibri"/>
          <w:bCs w:val="0"/>
          <w:color w:val="1074CB"/>
          <w:sz w:val="16"/>
          <w:szCs w:val="16"/>
          <w:lang w:eastAsia="en-GB"/>
        </w:rPr>
        <w:t>units.</w:t>
      </w:r>
      <w:r w:rsidR="0064674A">
        <w:rPr>
          <w:rFonts w:eastAsia="Calibri"/>
          <w:bCs w:val="0"/>
          <w:color w:val="1074CB"/>
          <w:sz w:val="16"/>
          <w:szCs w:val="16"/>
          <w:lang w:eastAsia="en-GB"/>
        </w:rPr>
        <w:tab/>
      </w:r>
      <w:r w:rsidR="0064674A" w:rsidRPr="0064674A">
        <w:rPr>
          <w:rFonts w:eastAsia="Calibri"/>
          <w:bCs w:val="0"/>
          <w:color w:val="1074CB"/>
          <w:sz w:val="16"/>
          <w:szCs w:val="16"/>
          <w:lang w:eastAsia="en-GB"/>
        </w:rPr>
        <w:br/>
      </w:r>
      <w:r w:rsidR="000A6D74">
        <w:rPr>
          <w:rFonts w:eastAsia="Calibri"/>
          <w:bCs w:val="0"/>
          <w:color w:val="1074CB"/>
          <w:sz w:val="16"/>
          <w:szCs w:val="16"/>
          <w:vertAlign w:val="superscript"/>
          <w:lang w:eastAsia="en-GB"/>
        </w:rPr>
        <w:t>2</w:t>
      </w:r>
      <w:r w:rsidR="0064674A" w:rsidRPr="0064674A">
        <w:rPr>
          <w:rFonts w:eastAsia="Calibri"/>
          <w:bCs w:val="0"/>
          <w:color w:val="1074CB"/>
          <w:sz w:val="16"/>
          <w:szCs w:val="16"/>
          <w:lang w:eastAsia="en-GB"/>
        </w:rPr>
        <w:t xml:space="preserve"> Q1 bus and coach registrations</w:t>
      </w:r>
      <w:r w:rsidR="001C4AAE">
        <w:rPr>
          <w:rFonts w:eastAsia="Calibri"/>
          <w:bCs w:val="0"/>
          <w:color w:val="1074CB"/>
          <w:sz w:val="16"/>
          <w:szCs w:val="16"/>
          <w:lang w:eastAsia="en-GB"/>
        </w:rPr>
        <w:t>, 2019</w:t>
      </w:r>
      <w:r w:rsidR="0064674A" w:rsidRPr="0064674A">
        <w:rPr>
          <w:rFonts w:eastAsia="Calibri"/>
          <w:bCs w:val="0"/>
          <w:color w:val="1074CB"/>
          <w:sz w:val="16"/>
          <w:szCs w:val="16"/>
          <w:lang w:eastAsia="en-GB"/>
        </w:rPr>
        <w:t>:</w:t>
      </w:r>
      <w:r w:rsidR="00481E9E">
        <w:rPr>
          <w:rFonts w:eastAsia="Calibri"/>
          <w:bCs w:val="0"/>
          <w:color w:val="1074CB"/>
          <w:sz w:val="16"/>
          <w:szCs w:val="16"/>
          <w:lang w:eastAsia="en-GB"/>
        </w:rPr>
        <w:t xml:space="preserve"> 1,</w:t>
      </w:r>
      <w:r w:rsidR="00B87BA5">
        <w:rPr>
          <w:rFonts w:eastAsia="Calibri"/>
          <w:bCs w:val="0"/>
          <w:color w:val="1074CB"/>
          <w:sz w:val="16"/>
          <w:szCs w:val="16"/>
          <w:lang w:eastAsia="en-GB"/>
        </w:rPr>
        <w:t>2</w:t>
      </w:r>
      <w:r w:rsidR="00481E9E">
        <w:rPr>
          <w:rFonts w:eastAsia="Calibri"/>
          <w:bCs w:val="0"/>
          <w:color w:val="1074CB"/>
          <w:sz w:val="16"/>
          <w:szCs w:val="16"/>
          <w:lang w:eastAsia="en-GB"/>
        </w:rPr>
        <w:t>0</w:t>
      </w:r>
      <w:r w:rsidR="00B87BA5">
        <w:rPr>
          <w:rFonts w:eastAsia="Calibri"/>
          <w:bCs w:val="0"/>
          <w:color w:val="1074CB"/>
          <w:sz w:val="16"/>
          <w:szCs w:val="16"/>
          <w:lang w:eastAsia="en-GB"/>
        </w:rPr>
        <w:t>5</w:t>
      </w:r>
      <w:r w:rsidR="00481E9E">
        <w:rPr>
          <w:rFonts w:eastAsia="Calibri"/>
          <w:bCs w:val="0"/>
          <w:color w:val="1074CB"/>
          <w:sz w:val="16"/>
          <w:szCs w:val="16"/>
          <w:lang w:eastAsia="en-GB"/>
        </w:rPr>
        <w:t xml:space="preserve"> </w:t>
      </w:r>
      <w:r w:rsidR="0064674A" w:rsidRPr="0064674A">
        <w:rPr>
          <w:rFonts w:eastAsia="Calibri"/>
          <w:bCs w:val="0"/>
          <w:color w:val="1074CB"/>
          <w:sz w:val="16"/>
          <w:szCs w:val="16"/>
          <w:lang w:eastAsia="en-GB"/>
        </w:rPr>
        <w:t>units.</w:t>
      </w:r>
      <w:r w:rsidR="0064674A">
        <w:rPr>
          <w:rFonts w:eastAsia="Calibri"/>
          <w:bCs w:val="0"/>
          <w:color w:val="1074CB"/>
          <w:sz w:val="16"/>
          <w:szCs w:val="16"/>
          <w:lang w:eastAsia="en-GB"/>
        </w:rPr>
        <w:tab/>
      </w:r>
      <w:r w:rsidR="0064674A" w:rsidRPr="0064674A">
        <w:rPr>
          <w:rFonts w:eastAsia="Calibri"/>
          <w:bCs w:val="0"/>
          <w:color w:val="1074CB"/>
          <w:sz w:val="16"/>
          <w:szCs w:val="16"/>
          <w:lang w:eastAsia="en-GB"/>
        </w:rPr>
        <w:br/>
      </w:r>
      <w:r w:rsidR="000A6D74">
        <w:rPr>
          <w:rFonts w:eastAsia="Calibri"/>
          <w:bCs w:val="0"/>
          <w:color w:val="1074CB"/>
          <w:sz w:val="16"/>
          <w:szCs w:val="16"/>
          <w:vertAlign w:val="superscript"/>
          <w:lang w:eastAsia="en-GB"/>
        </w:rPr>
        <w:t>3</w:t>
      </w:r>
      <w:r w:rsidR="0064674A" w:rsidRPr="0064674A">
        <w:rPr>
          <w:rFonts w:eastAsia="Calibri"/>
          <w:bCs w:val="0"/>
          <w:color w:val="1074CB"/>
          <w:sz w:val="16"/>
          <w:szCs w:val="16"/>
          <w:lang w:eastAsia="en-GB"/>
        </w:rPr>
        <w:t xml:space="preserve"> </w:t>
      </w:r>
      <w:hyperlink r:id="rId11" w:history="1">
        <w:r w:rsidR="0064674A" w:rsidRPr="0064674A">
          <w:rPr>
            <w:rFonts w:eastAsia="Calibri"/>
            <w:bCs w:val="0"/>
            <w:color w:val="0000FF"/>
            <w:sz w:val="16"/>
            <w:szCs w:val="16"/>
            <w:u w:val="single"/>
            <w:lang w:eastAsia="en-GB"/>
          </w:rPr>
          <w:t>UK government bus statistics</w:t>
        </w:r>
      </w:hyperlink>
      <w:r w:rsidR="0064674A" w:rsidRPr="0064674A">
        <w:rPr>
          <w:rFonts w:eastAsia="Calibri"/>
          <w:bCs w:val="0"/>
          <w:color w:val="1074CB"/>
          <w:sz w:val="16"/>
          <w:szCs w:val="16"/>
          <w:lang w:eastAsia="en-GB"/>
        </w:rPr>
        <w:t>, April 2023.</w:t>
      </w:r>
      <w:r w:rsidR="0064674A">
        <w:rPr>
          <w:rFonts w:eastAsia="Calibri"/>
          <w:bCs w:val="0"/>
          <w:color w:val="1074CB"/>
          <w:sz w:val="16"/>
          <w:szCs w:val="16"/>
          <w:lang w:eastAsia="en-GB"/>
        </w:rPr>
        <w:tab/>
      </w:r>
      <w:r w:rsidR="0064674A" w:rsidRPr="0064674A">
        <w:rPr>
          <w:rFonts w:eastAsia="Calibri"/>
          <w:bCs w:val="0"/>
          <w:color w:val="1074CB"/>
          <w:sz w:val="16"/>
          <w:szCs w:val="16"/>
          <w:lang w:eastAsia="en-GB"/>
        </w:rPr>
        <w:br/>
      </w:r>
      <w:r w:rsidR="0064674A" w:rsidRPr="0064674A">
        <w:rPr>
          <w:rFonts w:ascii="Times" w:eastAsia="Calibri" w:hAnsi="Times" w:cs="Times"/>
          <w:bCs w:val="0"/>
          <w:sz w:val="24"/>
          <w:szCs w:val="24"/>
          <w:lang w:eastAsia="en-GB"/>
        </w:rPr>
        <w:br/>
      </w:r>
      <w:r w:rsidR="0064674A" w:rsidRPr="0064674A">
        <w:rPr>
          <w:rFonts w:eastAsia="Calibri"/>
          <w:b/>
          <w:color w:val="1074CB"/>
          <w:sz w:val="16"/>
          <w:szCs w:val="16"/>
          <w:lang w:eastAsia="en-GB"/>
        </w:rPr>
        <w:t>About SMMT and the UK automotive industry</w:t>
      </w:r>
    </w:p>
    <w:p w14:paraId="24D21F46" w14:textId="77777777" w:rsidR="0064674A" w:rsidRPr="0064674A" w:rsidRDefault="0064674A" w:rsidP="0064674A">
      <w:pPr>
        <w:spacing w:line="252" w:lineRule="auto"/>
        <w:jc w:val="both"/>
        <w:rPr>
          <w:rFonts w:eastAsia="Calibri"/>
          <w:bCs w:val="0"/>
          <w:color w:val="1074CB"/>
          <w:sz w:val="16"/>
          <w:szCs w:val="16"/>
          <w:lang w:eastAsia="en-GB"/>
        </w:rPr>
      </w:pPr>
      <w:r w:rsidRPr="0064674A">
        <w:rPr>
          <w:rFonts w:eastAsia="Calibri"/>
          <w:bCs w:val="0"/>
          <w:color w:val="1074CB"/>
          <w:sz w:val="16"/>
          <w:szCs w:val="16"/>
          <w:lang w:eastAsia="en-GB"/>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2C068298" w14:textId="77777777" w:rsidR="0064674A" w:rsidRPr="0064674A" w:rsidRDefault="0064674A" w:rsidP="0064674A">
      <w:pPr>
        <w:spacing w:line="276" w:lineRule="auto"/>
        <w:jc w:val="both"/>
        <w:rPr>
          <w:rFonts w:eastAsia="Calibri"/>
          <w:bCs w:val="0"/>
          <w:color w:val="1074CB"/>
          <w:sz w:val="16"/>
          <w:szCs w:val="16"/>
        </w:rPr>
      </w:pPr>
      <w:r w:rsidRPr="0064674A">
        <w:rPr>
          <w:rFonts w:eastAsia="Calibri"/>
          <w:bCs w:val="0"/>
          <w:color w:val="1074CB"/>
          <w:sz w:val="16"/>
          <w:szCs w:val="16"/>
          <w:lang w:eastAsia="en-GB"/>
        </w:rPr>
        <w:t xml:space="preserve">The automotive industry is a vital part of the UK economy and integral to supporting the delivery of the agendas for levelling up, net zero, advancing global Britain, and the plan for growth. </w:t>
      </w:r>
      <w:r w:rsidRPr="0064674A">
        <w:rPr>
          <w:rFonts w:eastAsia="Calibri"/>
          <w:bCs w:val="0"/>
          <w:color w:val="1074CB"/>
          <w:sz w:val="16"/>
          <w:szCs w:val="16"/>
        </w:rPr>
        <w:t xml:space="preserve">Automotive-related manufacturing contributes £67 billion turnover and £14 billion value added to the UK economy, and typically invests around £3 billion each year in R&amp;D. With more than 182,000 people employed in manufacturing and some 780,000 in total across the wider automotive industry, we account for 10% of total UK goods exports with more than 130 countries importing UK produced vehicles, generating £77 billion of trade. </w:t>
      </w:r>
    </w:p>
    <w:p w14:paraId="10CCC39C" w14:textId="77777777" w:rsidR="0064674A" w:rsidRPr="0064674A" w:rsidRDefault="0064674A" w:rsidP="0064674A">
      <w:pPr>
        <w:spacing w:line="276" w:lineRule="auto"/>
        <w:jc w:val="both"/>
        <w:rPr>
          <w:rFonts w:eastAsia="Calibri"/>
          <w:bCs w:val="0"/>
          <w:color w:val="1074CB"/>
          <w:sz w:val="16"/>
          <w:szCs w:val="16"/>
        </w:rPr>
      </w:pPr>
      <w:r w:rsidRPr="0064674A">
        <w:rPr>
          <w:rFonts w:eastAsia="Calibri"/>
          <w:bCs w:val="0"/>
          <w:color w:val="1074CB"/>
          <w:sz w:val="16"/>
          <w:szCs w:val="16"/>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1A78E89A" w14:textId="77777777" w:rsidR="0064674A" w:rsidRPr="0064674A" w:rsidRDefault="0064674A" w:rsidP="0064674A">
      <w:pPr>
        <w:spacing w:before="100" w:beforeAutospacing="1" w:after="100" w:afterAutospacing="1" w:line="276" w:lineRule="auto"/>
        <w:jc w:val="both"/>
        <w:rPr>
          <w:rFonts w:eastAsia="Calibri"/>
          <w:bCs w:val="0"/>
          <w:color w:val="1074CB"/>
          <w:sz w:val="16"/>
          <w:szCs w:val="16"/>
          <w:lang w:eastAsia="en-GB"/>
        </w:rPr>
      </w:pPr>
      <w:r w:rsidRPr="0064674A">
        <w:rPr>
          <w:rFonts w:eastAsia="Calibri"/>
          <w:bCs w:val="0"/>
          <w:color w:val="1074CB"/>
          <w:sz w:val="16"/>
          <w:szCs w:val="16"/>
          <w:lang w:eastAsia="en-GB"/>
        </w:rPr>
        <w:t>More detail on UK Automotive available in SMMT's Motor Industry Facts publication at </w:t>
      </w:r>
      <w:hyperlink r:id="rId12" w:tgtFrame="_blank" w:tooltip="http://www.smmt.co.uk/reports/smmt-motor-industry-facts/" w:history="1">
        <w:r w:rsidRPr="0064674A">
          <w:rPr>
            <w:rFonts w:eastAsia="Calibri"/>
            <w:bCs w:val="0"/>
            <w:color w:val="0563C1"/>
            <w:sz w:val="16"/>
            <w:szCs w:val="16"/>
            <w:u w:val="single"/>
            <w:lang w:eastAsia="en-GB"/>
          </w:rPr>
          <w:t>www.smmt.co.uk/reports/smmt-motor-industry-facts/</w:t>
        </w:r>
      </w:hyperlink>
    </w:p>
    <w:p w14:paraId="2B8026E0" w14:textId="77777777" w:rsidR="0064674A" w:rsidRPr="0064674A" w:rsidRDefault="0064674A" w:rsidP="0064674A">
      <w:pPr>
        <w:spacing w:before="100" w:beforeAutospacing="1" w:after="100" w:afterAutospacing="1" w:line="276" w:lineRule="auto"/>
        <w:jc w:val="both"/>
        <w:rPr>
          <w:rFonts w:eastAsia="Calibri"/>
          <w:bCs w:val="0"/>
          <w:color w:val="1074CB"/>
          <w:lang w:eastAsia="en-GB"/>
        </w:rPr>
      </w:pPr>
      <w:r w:rsidRPr="0064674A">
        <w:rPr>
          <w:rFonts w:eastAsia="Calibri"/>
          <w:b/>
          <w:color w:val="1074CB"/>
          <w:sz w:val="16"/>
          <w:szCs w:val="16"/>
          <w:lang w:eastAsia="en-GB"/>
        </w:rPr>
        <w:t xml:space="preserve">Broadcasters: </w:t>
      </w:r>
      <w:r w:rsidRPr="0064674A">
        <w:rPr>
          <w:rFonts w:eastAsia="Calibri"/>
          <w:bCs w:val="0"/>
          <w:color w:val="1074CB"/>
          <w:sz w:val="16"/>
          <w:szCs w:val="16"/>
          <w:lang w:eastAsia="en-GB"/>
        </w:rPr>
        <w:t>SMMT has an ISDN studio and access to expert spokespeople, case studies and regional representatives.</w:t>
      </w:r>
    </w:p>
    <w:p w14:paraId="6980DEC0" w14:textId="0A0BF854" w:rsidR="0064674A" w:rsidRPr="0064674A" w:rsidRDefault="0064674A" w:rsidP="0064674A">
      <w:pPr>
        <w:spacing w:before="100" w:beforeAutospacing="1" w:after="100" w:afterAutospacing="1" w:line="276" w:lineRule="auto"/>
        <w:rPr>
          <w:rFonts w:eastAsia="Calibri"/>
          <w:bCs w:val="0"/>
          <w:color w:val="1074CB"/>
          <w:lang w:eastAsia="en-GB"/>
        </w:rPr>
      </w:pPr>
      <w:r w:rsidRPr="0064674A">
        <w:rPr>
          <w:rFonts w:eastAsia="Calibri"/>
          <w:b/>
          <w:color w:val="1074CB"/>
          <w:sz w:val="16"/>
          <w:szCs w:val="16"/>
          <w:lang w:eastAsia="en-GB"/>
        </w:rPr>
        <w:t>SMMT media contacts</w:t>
      </w:r>
      <w:r w:rsidRPr="0064674A">
        <w:rPr>
          <w:rFonts w:eastAsia="Calibri"/>
          <w:bCs w:val="0"/>
          <w:color w:val="1074CB"/>
          <w:lang w:eastAsia="en-GB"/>
        </w:rPr>
        <w:br/>
      </w:r>
      <w:r w:rsidRPr="0064674A">
        <w:rPr>
          <w:rFonts w:eastAsia="Calibri"/>
          <w:bCs w:val="0"/>
          <w:color w:val="1074CB"/>
          <w:sz w:val="16"/>
          <w:szCs w:val="16"/>
          <w:lang w:eastAsia="en-GB"/>
        </w:rPr>
        <w:t xml:space="preserve">Paul Mauerhoff                       07809 522181            </w:t>
      </w:r>
      <w:hyperlink r:id="rId13" w:history="1">
        <w:r w:rsidRPr="0064674A">
          <w:rPr>
            <w:rFonts w:eastAsia="Calibri"/>
            <w:bCs w:val="0"/>
            <w:color w:val="1074CB"/>
            <w:sz w:val="16"/>
            <w:szCs w:val="16"/>
            <w:u w:val="single"/>
            <w:lang w:eastAsia="en-GB"/>
          </w:rPr>
          <w:t>pmauerhoff@smmt.co.uk</w:t>
        </w:r>
      </w:hyperlink>
      <w:r w:rsidRPr="0064674A">
        <w:rPr>
          <w:rFonts w:eastAsia="Calibri"/>
          <w:bCs w:val="0"/>
          <w:color w:val="1074CB"/>
          <w:lang w:eastAsia="en-GB"/>
        </w:rPr>
        <w:br/>
      </w:r>
      <w:r w:rsidRPr="0064674A">
        <w:rPr>
          <w:rFonts w:eastAsia="Calibri"/>
          <w:bCs w:val="0"/>
          <w:color w:val="1074CB"/>
          <w:sz w:val="16"/>
          <w:szCs w:val="16"/>
          <w:lang w:eastAsia="en-GB"/>
        </w:rPr>
        <w:t xml:space="preserve">James Boley                           07927 668565            </w:t>
      </w:r>
      <w:hyperlink r:id="rId14" w:history="1">
        <w:r w:rsidRPr="0064674A">
          <w:rPr>
            <w:rFonts w:eastAsia="Calibri"/>
            <w:bCs w:val="0"/>
            <w:color w:val="1074CB"/>
            <w:sz w:val="16"/>
            <w:szCs w:val="16"/>
            <w:u w:val="single"/>
            <w:lang w:eastAsia="en-GB"/>
          </w:rPr>
          <w:t>jboley@smmt.co.uk</w:t>
        </w:r>
      </w:hyperlink>
      <w:r w:rsidRPr="0064674A">
        <w:rPr>
          <w:rFonts w:eastAsia="Calibri"/>
          <w:bCs w:val="0"/>
          <w:color w:val="1074CB"/>
          <w:lang w:eastAsia="en-GB"/>
        </w:rPr>
        <w:br/>
      </w:r>
      <w:r w:rsidRPr="0064674A">
        <w:rPr>
          <w:rFonts w:eastAsia="Calibri"/>
          <w:bCs w:val="0"/>
          <w:color w:val="1074CB"/>
          <w:sz w:val="16"/>
          <w:szCs w:val="16"/>
          <w:lang w:eastAsia="en-GB"/>
        </w:rPr>
        <w:t xml:space="preserve">Rebecca Gibbs                       07708 480889            </w:t>
      </w:r>
      <w:hyperlink r:id="rId15" w:history="1">
        <w:r w:rsidRPr="0064674A">
          <w:rPr>
            <w:rFonts w:eastAsia="Calibri"/>
            <w:bCs w:val="0"/>
            <w:color w:val="1074CB"/>
            <w:sz w:val="16"/>
            <w:szCs w:val="16"/>
            <w:u w:val="single"/>
            <w:lang w:eastAsia="en-GB"/>
          </w:rPr>
          <w:t>rgibbs@smmt.co.uk</w:t>
        </w:r>
      </w:hyperlink>
      <w:r w:rsidRPr="0064674A">
        <w:rPr>
          <w:rFonts w:eastAsia="Calibri"/>
          <w:bCs w:val="0"/>
          <w:color w:val="1074CB"/>
          <w:lang w:eastAsia="en-GB"/>
        </w:rPr>
        <w:br/>
      </w:r>
      <w:r w:rsidRPr="0064674A">
        <w:rPr>
          <w:rFonts w:eastAsia="Calibri"/>
          <w:bCs w:val="0"/>
          <w:color w:val="1074CB"/>
          <w:sz w:val="16"/>
          <w:szCs w:val="16"/>
          <w:lang w:eastAsia="en-GB"/>
        </w:rPr>
        <w:t xml:space="preserve">Scott Clarke                            07912 799959            </w:t>
      </w:r>
      <w:hyperlink r:id="rId16" w:history="1">
        <w:r w:rsidRPr="0064674A">
          <w:rPr>
            <w:rFonts w:eastAsia="Calibri"/>
            <w:bCs w:val="0"/>
            <w:color w:val="1074CB"/>
            <w:sz w:val="16"/>
            <w:szCs w:val="16"/>
            <w:u w:val="single"/>
            <w:lang w:eastAsia="en-GB"/>
          </w:rPr>
          <w:t>sclarke@smmt.co.uk</w:t>
        </w:r>
      </w:hyperlink>
      <w:r w:rsidRPr="0064674A">
        <w:rPr>
          <w:rFonts w:eastAsia="Calibri"/>
          <w:bCs w:val="0"/>
          <w:color w:val="1074CB"/>
          <w:lang w:eastAsia="en-GB"/>
        </w:rPr>
        <w:br/>
      </w:r>
      <w:r w:rsidRPr="0064674A">
        <w:rPr>
          <w:rFonts w:eastAsia="Calibri"/>
          <w:bCs w:val="0"/>
          <w:color w:val="1074CB"/>
          <w:sz w:val="16"/>
          <w:szCs w:val="16"/>
          <w:lang w:eastAsia="en-GB"/>
        </w:rPr>
        <w:t xml:space="preserve">Emma Butcher                        07880 191825            </w:t>
      </w:r>
      <w:hyperlink r:id="rId17" w:history="1">
        <w:r w:rsidRPr="0064674A">
          <w:rPr>
            <w:rFonts w:eastAsia="Calibri"/>
            <w:bCs w:val="0"/>
            <w:color w:val="1074CB"/>
            <w:sz w:val="16"/>
            <w:szCs w:val="16"/>
            <w:u w:val="single"/>
            <w:lang w:eastAsia="en-GB"/>
          </w:rPr>
          <w:t>ebutcher@smmt.co.uk</w:t>
        </w:r>
      </w:hyperlink>
    </w:p>
    <w:sectPr w:rsidR="0064674A" w:rsidRPr="0064674A" w:rsidSect="00105E93">
      <w:headerReference w:type="default" r:id="rId18"/>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87C1A" w14:textId="77777777" w:rsidR="00BD0E2C" w:rsidRDefault="00BD0E2C" w:rsidP="00BD0E2C">
      <w:pPr>
        <w:spacing w:after="0" w:line="240" w:lineRule="auto"/>
      </w:pPr>
      <w:r>
        <w:separator/>
      </w:r>
    </w:p>
  </w:endnote>
  <w:endnote w:type="continuationSeparator" w:id="0">
    <w:p w14:paraId="3E5756E2" w14:textId="77777777" w:rsidR="00BD0E2C" w:rsidRDefault="00BD0E2C" w:rsidP="00BD0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4379F" w14:textId="77777777" w:rsidR="00BD0E2C" w:rsidRDefault="00BD0E2C" w:rsidP="00BD0E2C">
      <w:pPr>
        <w:spacing w:after="0" w:line="240" w:lineRule="auto"/>
      </w:pPr>
      <w:r>
        <w:separator/>
      </w:r>
    </w:p>
  </w:footnote>
  <w:footnote w:type="continuationSeparator" w:id="0">
    <w:p w14:paraId="31C7E49F" w14:textId="77777777" w:rsidR="00BD0E2C" w:rsidRDefault="00BD0E2C" w:rsidP="00BD0E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3584D" w14:textId="3496952D" w:rsidR="00BD0E2C" w:rsidRDefault="00BD0E2C" w:rsidP="00BD0E2C">
    <w:pPr>
      <w:pStyle w:val="Header"/>
      <w:jc w:val="right"/>
    </w:pPr>
    <w:r>
      <w:rPr>
        <w:noProof/>
      </w:rPr>
      <w:drawing>
        <wp:inline distT="0" distB="0" distL="0" distR="0" wp14:anchorId="1B93BA24" wp14:editId="6C1A54AF">
          <wp:extent cx="1682496" cy="499872"/>
          <wp:effectExtent l="0" t="0" r="0" b="0"/>
          <wp:docPr id="1" name="Picture 1" descr="A blue text on a white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text on a white background&#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682496" cy="499872"/>
                  </a:xfrm>
                  <a:prstGeom prst="rect">
                    <a:avLst/>
                  </a:prstGeom>
                </pic:spPr>
              </pic:pic>
            </a:graphicData>
          </a:graphic>
        </wp:inline>
      </w:drawing>
    </w:r>
  </w:p>
  <w:p w14:paraId="0FE5B658" w14:textId="77777777" w:rsidR="005B53F4" w:rsidRDefault="005B53F4" w:rsidP="00BD0E2C">
    <w:pPr>
      <w:pStyle w:val="Header"/>
      <w:jc w:val="right"/>
    </w:pPr>
  </w:p>
  <w:p w14:paraId="60A7FE3E" w14:textId="77777777" w:rsidR="00BD0E2C" w:rsidRDefault="00BD0E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985A0C"/>
    <w:multiLevelType w:val="hybridMultilevel"/>
    <w:tmpl w:val="7C0A27C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74A"/>
    <w:rsid w:val="000A6D74"/>
    <w:rsid w:val="000D2FA7"/>
    <w:rsid w:val="00105E93"/>
    <w:rsid w:val="001C4AAE"/>
    <w:rsid w:val="00207D54"/>
    <w:rsid w:val="002E46D9"/>
    <w:rsid w:val="003253B3"/>
    <w:rsid w:val="003E7801"/>
    <w:rsid w:val="0041585C"/>
    <w:rsid w:val="004205EC"/>
    <w:rsid w:val="00481E9E"/>
    <w:rsid w:val="004D7AA3"/>
    <w:rsid w:val="00541FBB"/>
    <w:rsid w:val="005B53F4"/>
    <w:rsid w:val="00613295"/>
    <w:rsid w:val="00626448"/>
    <w:rsid w:val="0064674A"/>
    <w:rsid w:val="006C3195"/>
    <w:rsid w:val="00762D3A"/>
    <w:rsid w:val="007D2271"/>
    <w:rsid w:val="008A3B90"/>
    <w:rsid w:val="00934730"/>
    <w:rsid w:val="00962118"/>
    <w:rsid w:val="00A003D8"/>
    <w:rsid w:val="00A55E1F"/>
    <w:rsid w:val="00A570B0"/>
    <w:rsid w:val="00B260B3"/>
    <w:rsid w:val="00B3348E"/>
    <w:rsid w:val="00B87BA5"/>
    <w:rsid w:val="00BD0E2C"/>
    <w:rsid w:val="00CA1745"/>
    <w:rsid w:val="00CC41BA"/>
    <w:rsid w:val="00D711AB"/>
    <w:rsid w:val="00D94BCF"/>
    <w:rsid w:val="00DB66BA"/>
    <w:rsid w:val="00E00C31"/>
    <w:rsid w:val="00E161AD"/>
    <w:rsid w:val="00EE6C5E"/>
    <w:rsid w:val="00EF2D4B"/>
    <w:rsid w:val="00F046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454300"/>
  <w15:chartTrackingRefBased/>
  <w15:docId w15:val="{1009D333-F242-43F4-885A-284AE9098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bCs/>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4205EC"/>
    <w:pPr>
      <w:spacing w:after="0" w:line="240" w:lineRule="auto"/>
    </w:pPr>
  </w:style>
  <w:style w:type="paragraph" w:styleId="Header">
    <w:name w:val="header"/>
    <w:basedOn w:val="Normal"/>
    <w:link w:val="HeaderChar"/>
    <w:uiPriority w:val="99"/>
    <w:unhideWhenUsed/>
    <w:rsid w:val="00BD0E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0E2C"/>
  </w:style>
  <w:style w:type="paragraph" w:styleId="Footer">
    <w:name w:val="footer"/>
    <w:basedOn w:val="Normal"/>
    <w:link w:val="FooterChar"/>
    <w:uiPriority w:val="99"/>
    <w:unhideWhenUsed/>
    <w:rsid w:val="00BD0E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0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790744">
      <w:bodyDiv w:val="1"/>
      <w:marLeft w:val="0"/>
      <w:marRight w:val="0"/>
      <w:marTop w:val="0"/>
      <w:marBottom w:val="0"/>
      <w:divBdr>
        <w:top w:val="none" w:sz="0" w:space="0" w:color="auto"/>
        <w:left w:val="none" w:sz="0" w:space="0" w:color="auto"/>
        <w:bottom w:val="none" w:sz="0" w:space="0" w:color="auto"/>
        <w:right w:val="none" w:sz="0" w:space="0" w:color="auto"/>
      </w:divBdr>
    </w:div>
    <w:div w:id="173342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pmauerhoff@smmt.co.uk"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smmt.co.uk/reports/smmt-motor-industry-facts/" TargetMode="External"/><Relationship Id="rId17" Type="http://schemas.openxmlformats.org/officeDocument/2006/relationships/hyperlink" Target="mailto:ebutcher@smmt.co.uk" TargetMode="External"/><Relationship Id="rId2" Type="http://schemas.openxmlformats.org/officeDocument/2006/relationships/styles" Target="styles.xml"/><Relationship Id="rId16" Type="http://schemas.openxmlformats.org/officeDocument/2006/relationships/hyperlink" Target="mailto:sclarke@smmt.co.u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statistics/concessionary-travel-statistics-year-ending-march-2022" TargetMode="External"/><Relationship Id="rId5" Type="http://schemas.openxmlformats.org/officeDocument/2006/relationships/footnotes" Target="footnotes.xml"/><Relationship Id="rId15" Type="http://schemas.openxmlformats.org/officeDocument/2006/relationships/hyperlink" Target="mailto:rgibbs@smmt.co.uk" TargetMode="Externa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yperlink" Target="mailto:jboley@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952</Words>
  <Characters>5427</Characters>
  <Application>Microsoft Office Word</Application>
  <DocSecurity>0</DocSecurity>
  <Lines>45</Lines>
  <Paragraphs>12</Paragraphs>
  <ScaleCrop>false</ScaleCrop>
  <Company/>
  <LinksUpToDate>false</LinksUpToDate>
  <CharactersWithSpaces>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Scott Clarke</cp:lastModifiedBy>
  <cp:revision>16</cp:revision>
  <dcterms:created xsi:type="dcterms:W3CDTF">2023-05-16T11:47:00Z</dcterms:created>
  <dcterms:modified xsi:type="dcterms:W3CDTF">2023-05-16T15:46:00Z</dcterms:modified>
</cp:coreProperties>
</file>